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DB1A92">
      <w:pPr>
        <w:jc w:val="right"/>
        <w:rPr>
          <w:b/>
          <w:sz w:val="24"/>
          <w:szCs w:val="24"/>
        </w:rPr>
      </w:pPr>
      <w:r>
        <w:rPr>
          <w:rFonts w:eastAsiaTheme="minorHAnsi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2724150</wp:posOffset>
            </wp:positionH>
            <wp:positionV relativeFrom="paragraph">
              <wp:posOffset>-403860</wp:posOffset>
            </wp:positionV>
            <wp:extent cx="523875" cy="685800"/>
            <wp:effectExtent l="0" t="0" r="9525" b="0"/>
            <wp:wrapNone/>
            <wp:docPr id="1" name="Рисунок 1" descr="Герб ч-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ч-б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</w:rPr>
        <w:t>ПРОЕКТ</w:t>
      </w:r>
    </w:p>
    <w:p w14:paraId="4C6A389B">
      <w:pPr>
        <w:suppressAutoHyphens/>
        <w:rPr>
          <w:b/>
          <w:sz w:val="24"/>
          <w:szCs w:val="24"/>
        </w:rPr>
      </w:pPr>
    </w:p>
    <w:p w14:paraId="53174345">
      <w:pPr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Российская Федерация </w:t>
      </w:r>
    </w:p>
    <w:p w14:paraId="15ED982B">
      <w:pPr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Кемеровская область - Кузбасс</w:t>
      </w:r>
    </w:p>
    <w:p w14:paraId="30E0A57B">
      <w:pPr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Мысковский городской округ</w:t>
      </w:r>
    </w:p>
    <w:p w14:paraId="2959D1F1">
      <w:pPr>
        <w:widowControl/>
        <w:suppressAutoHyphens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Совет народных депутатов Мысковского городского округа</w:t>
      </w:r>
    </w:p>
    <w:p w14:paraId="5FF5A964">
      <w:pPr>
        <w:widowControl/>
        <w:suppressAutoHyphens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(седьмой созыв)</w:t>
      </w:r>
    </w:p>
    <w:p w14:paraId="7CE1A98E">
      <w:pPr>
        <w:widowControl/>
        <w:suppressAutoHyphens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7D54EC1B">
      <w:pPr>
        <w:widowControl/>
        <w:suppressAutoHyphens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Р Е Ш Е Н И Е</w:t>
      </w:r>
    </w:p>
    <w:p w14:paraId="64C330A6">
      <w:pPr>
        <w:widowControl/>
        <w:suppressAutoHyphens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6B18406C">
      <w:pPr>
        <w:widowControl/>
        <w:suppressAutoHyphens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от        декабря 2024г. №      -н</w:t>
      </w:r>
    </w:p>
    <w:p w14:paraId="12B7E0E6">
      <w:pPr>
        <w:widowControl/>
        <w:suppressAutoHyphens/>
        <w:overflowPunct/>
        <w:autoSpaceDE/>
        <w:autoSpaceDN/>
        <w:adjustRightInd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</w:p>
    <w:p w14:paraId="0AC05CB7">
      <w:pPr>
        <w:pStyle w:val="10"/>
        <w:widowControl/>
        <w:tabs>
          <w:tab w:val="left" w:pos="567"/>
        </w:tabs>
        <w:ind w:right="2"/>
        <w:rPr>
          <w:b/>
          <w:bCs/>
          <w:color w:val="000000"/>
          <w:spacing w:val="-5"/>
          <w:sz w:val="24"/>
          <w:szCs w:val="24"/>
        </w:rPr>
      </w:pPr>
      <w:r>
        <w:rPr>
          <w:b/>
          <w:bCs/>
          <w:color w:val="000000"/>
          <w:spacing w:val="-5"/>
          <w:sz w:val="24"/>
          <w:szCs w:val="24"/>
        </w:rPr>
        <w:t xml:space="preserve">Об утверждении годовой ставки арендной платы за 1 кв.м </w:t>
      </w:r>
    </w:p>
    <w:p w14:paraId="0CB5F286">
      <w:pPr>
        <w:pStyle w:val="10"/>
        <w:widowControl/>
        <w:tabs>
          <w:tab w:val="left" w:pos="567"/>
        </w:tabs>
        <w:ind w:right="2"/>
        <w:rPr>
          <w:b/>
          <w:bCs/>
          <w:color w:val="000000"/>
          <w:spacing w:val="-5"/>
          <w:sz w:val="24"/>
          <w:szCs w:val="24"/>
        </w:rPr>
      </w:pPr>
      <w:r>
        <w:rPr>
          <w:b/>
          <w:bCs/>
          <w:color w:val="000000"/>
          <w:spacing w:val="-5"/>
          <w:sz w:val="24"/>
          <w:szCs w:val="24"/>
        </w:rPr>
        <w:t xml:space="preserve">недвижимого имущества, находящегося в муниципальной собственности </w:t>
      </w:r>
    </w:p>
    <w:p w14:paraId="3E4A6BE6">
      <w:pPr>
        <w:pStyle w:val="10"/>
        <w:widowControl/>
        <w:tabs>
          <w:tab w:val="left" w:pos="567"/>
        </w:tabs>
        <w:ind w:right="2"/>
        <w:rPr>
          <w:b/>
          <w:bCs/>
          <w:color w:val="000000"/>
          <w:spacing w:val="-5"/>
          <w:sz w:val="24"/>
          <w:szCs w:val="24"/>
        </w:rPr>
      </w:pPr>
      <w:r>
        <w:rPr>
          <w:b/>
          <w:bCs/>
          <w:color w:val="000000"/>
          <w:spacing w:val="-5"/>
          <w:sz w:val="24"/>
          <w:szCs w:val="24"/>
        </w:rPr>
        <w:t>Мысковского городского округа, на 2025 год</w:t>
      </w:r>
    </w:p>
    <w:p w14:paraId="4FD844CF">
      <w:pPr>
        <w:widowControl/>
        <w:suppressAutoHyphens/>
        <w:overflowPunct/>
        <w:autoSpaceDE/>
        <w:autoSpaceDN/>
        <w:adjustRightInd/>
        <w:jc w:val="right"/>
        <w:textAlignment w:val="auto"/>
        <w:rPr>
          <w:rFonts w:eastAsiaTheme="minorHAnsi"/>
          <w:bCs/>
          <w:sz w:val="24"/>
          <w:szCs w:val="24"/>
          <w:lang w:eastAsia="en-US"/>
        </w:rPr>
      </w:pPr>
    </w:p>
    <w:p w14:paraId="61CB0CDE">
      <w:pPr>
        <w:widowControl/>
        <w:suppressAutoHyphens/>
        <w:overflowPunct/>
        <w:autoSpaceDE/>
        <w:autoSpaceDN/>
        <w:adjustRightInd/>
        <w:jc w:val="right"/>
        <w:textAlignment w:val="auto"/>
        <w:rPr>
          <w:rFonts w:eastAsiaTheme="minorHAnsi"/>
          <w:bCs/>
          <w:sz w:val="24"/>
          <w:szCs w:val="24"/>
          <w:lang w:eastAsia="en-US"/>
        </w:rPr>
      </w:pPr>
    </w:p>
    <w:p w14:paraId="54F17E44">
      <w:pPr>
        <w:widowControl/>
        <w:suppressAutoHyphens/>
        <w:overflowPunct/>
        <w:autoSpaceDE/>
        <w:autoSpaceDN/>
        <w:adjustRightInd/>
        <w:jc w:val="right"/>
        <w:textAlignment w:val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Принято </w:t>
      </w:r>
    </w:p>
    <w:p w14:paraId="6136D365">
      <w:pPr>
        <w:widowControl/>
        <w:suppressAutoHyphens/>
        <w:overflowPunct/>
        <w:autoSpaceDE/>
        <w:autoSpaceDN/>
        <w:adjustRightInd/>
        <w:jc w:val="right"/>
        <w:textAlignment w:val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Советом народных депутатов </w:t>
      </w:r>
    </w:p>
    <w:p w14:paraId="3B8B6049">
      <w:pPr>
        <w:widowControl/>
        <w:suppressAutoHyphens/>
        <w:overflowPunct/>
        <w:autoSpaceDE/>
        <w:autoSpaceDN/>
        <w:adjustRightInd/>
        <w:jc w:val="right"/>
        <w:textAlignment w:val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 xml:space="preserve">Мысковского городского округа </w:t>
      </w:r>
    </w:p>
    <w:p w14:paraId="0387BF25">
      <w:pPr>
        <w:widowControl/>
        <w:suppressAutoHyphens/>
        <w:overflowPunct/>
        <w:autoSpaceDE/>
        <w:autoSpaceDN/>
        <w:adjustRightInd/>
        <w:jc w:val="right"/>
        <w:textAlignment w:val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декабря 2024 года</w:t>
      </w:r>
    </w:p>
    <w:p w14:paraId="6AA0D6BF">
      <w:pPr>
        <w:pStyle w:val="18"/>
        <w:shd w:val="clear" w:color="auto" w:fill="auto"/>
        <w:ind w:left="40" w:right="708" w:firstLine="0"/>
        <w:jc w:val="right"/>
      </w:pPr>
    </w:p>
    <w:p w14:paraId="4F33CB18">
      <w:pPr>
        <w:pStyle w:val="10"/>
        <w:widowControl/>
        <w:tabs>
          <w:tab w:val="left" w:pos="510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пунктом 1 статьи 1 Федерального закона от 30.11.2024 № 419-ФЗ «О федеральном бюджете на 2025 год и на плановый период 2026 и 2027 годов», руководствуясь статьей 32 Устава Мысковского городского округа, пунктом 5.8.12 Положения об управлении и распоряжении муниципальным имуществом Мысковского городского округа, утвержденного решением Мысковского городского Совета народных депутатов от 19.05.2011 № 22-н, Совет народных депутатов Мысковского городского округа </w:t>
      </w:r>
    </w:p>
    <w:p w14:paraId="36BC1808">
      <w:pPr>
        <w:pStyle w:val="10"/>
        <w:widowControl/>
        <w:tabs>
          <w:tab w:val="left" w:pos="5103"/>
        </w:tabs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е ш и л:  </w:t>
      </w:r>
    </w:p>
    <w:p w14:paraId="66278363">
      <w:pPr>
        <w:pStyle w:val="10"/>
        <w:widowControl/>
        <w:tabs>
          <w:tab w:val="left" w:pos="5103"/>
        </w:tabs>
        <w:ind w:firstLine="709"/>
        <w:jc w:val="both"/>
        <w:rPr>
          <w:b/>
          <w:sz w:val="24"/>
          <w:szCs w:val="24"/>
        </w:rPr>
      </w:pPr>
    </w:p>
    <w:p w14:paraId="7CBDD425">
      <w:pPr>
        <w:widowControl/>
        <w:overflowPunct/>
        <w:ind w:firstLine="708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1. Утвердить годовую ставку арендной платы за 1 кв. м недвижимого имущества, находящегося в муниципальной собственности Мысковского городского округа, на 2025 год в размере </w:t>
      </w:r>
      <w:r>
        <w:rPr>
          <w:rFonts w:eastAsiaTheme="minorHAnsi"/>
          <w:sz w:val="24"/>
          <w:szCs w:val="24"/>
          <w:highlight w:val="yellow"/>
          <w:lang w:eastAsia="en-US"/>
        </w:rPr>
        <w:t>3</w:t>
      </w:r>
      <w:r>
        <w:rPr>
          <w:rFonts w:hint="default" w:eastAsiaTheme="minorHAnsi"/>
          <w:sz w:val="24"/>
          <w:szCs w:val="24"/>
          <w:highlight w:val="yellow"/>
          <w:lang w:val="ru-RU" w:eastAsia="en-US"/>
        </w:rPr>
        <w:t xml:space="preserve"> </w:t>
      </w:r>
      <w:r>
        <w:rPr>
          <w:rFonts w:eastAsiaTheme="minorHAnsi"/>
          <w:sz w:val="24"/>
          <w:szCs w:val="24"/>
          <w:highlight w:val="yellow"/>
          <w:lang w:eastAsia="en-US"/>
        </w:rPr>
        <w:t>519</w:t>
      </w:r>
      <w:r>
        <w:rPr>
          <w:rFonts w:hint="default" w:eastAsiaTheme="minorHAnsi"/>
          <w:sz w:val="24"/>
          <w:szCs w:val="24"/>
          <w:highlight w:val="yellow"/>
          <w:lang w:val="ru-RU" w:eastAsia="en-US"/>
        </w:rPr>
        <w:t xml:space="preserve"> </w:t>
      </w:r>
      <w:r>
        <w:rPr>
          <w:rFonts w:eastAsiaTheme="minorHAnsi"/>
          <w:sz w:val="24"/>
          <w:szCs w:val="24"/>
          <w:highlight w:val="yellow"/>
          <w:lang w:eastAsia="en-US"/>
        </w:rPr>
        <w:t>руб</w:t>
      </w:r>
      <w:r>
        <w:rPr>
          <w:rFonts w:eastAsiaTheme="minorHAnsi"/>
          <w:sz w:val="24"/>
          <w:szCs w:val="24"/>
          <w:highlight w:val="yellow"/>
          <w:lang w:val="ru-RU" w:eastAsia="en-US"/>
        </w:rPr>
        <w:t>лей</w:t>
      </w:r>
      <w:r>
        <w:rPr>
          <w:rFonts w:eastAsiaTheme="minorHAnsi"/>
          <w:sz w:val="24"/>
          <w:szCs w:val="24"/>
          <w:highlight w:val="yellow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(без учёта НДС).</w:t>
      </w:r>
    </w:p>
    <w:p w14:paraId="65D0E17D">
      <w:pPr>
        <w:pStyle w:val="10"/>
        <w:widowControl/>
        <w:tabs>
          <w:tab w:val="left" w:pos="510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Настоящее решение направить главе Мысковского городского округа для </w:t>
      </w:r>
      <w:r>
        <w:rPr>
          <w:sz w:val="24"/>
          <w:szCs w:val="24"/>
          <w:highlight w:val="yellow"/>
        </w:rPr>
        <w:t>подписания и обнародования</w:t>
      </w:r>
      <w:r>
        <w:rPr>
          <w:sz w:val="24"/>
          <w:szCs w:val="24"/>
        </w:rPr>
        <w:t xml:space="preserve"> в установленном порядке.</w:t>
      </w:r>
    </w:p>
    <w:p w14:paraId="22F54AE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Настоящее решение вступает в силу на следующий день после его официального </w:t>
      </w:r>
      <w:r>
        <w:rPr>
          <w:sz w:val="24"/>
          <w:szCs w:val="24"/>
          <w:highlight w:val="yellow"/>
        </w:rPr>
        <w:t>обнародования</w:t>
      </w:r>
      <w:r>
        <w:rPr>
          <w:sz w:val="24"/>
          <w:szCs w:val="24"/>
        </w:rPr>
        <w:t xml:space="preserve"> и распространяет свое действие на правоотношения с 01.01.2025 года.</w:t>
      </w:r>
    </w:p>
    <w:p w14:paraId="09306710">
      <w:pPr>
        <w:ind w:firstLine="709"/>
        <w:jc w:val="both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>4</w:t>
      </w:r>
      <w:r>
        <w:rPr>
          <w:sz w:val="24"/>
          <w:szCs w:val="24"/>
        </w:rPr>
        <w:t>. Контроль за исполнением настоящего решения возложить на комитет Совета народных депутатов Мысковского городского округа по развитию экономики, бюджету, налогам и финансам, администрацию Мысковского городского округа.</w:t>
      </w:r>
    </w:p>
    <w:p w14:paraId="3B0AD7E5">
      <w:pPr>
        <w:ind w:firstLine="709"/>
        <w:jc w:val="both"/>
        <w:rPr>
          <w:sz w:val="24"/>
          <w:szCs w:val="24"/>
        </w:rPr>
      </w:pPr>
    </w:p>
    <w:p w14:paraId="3222FF9C">
      <w:pPr>
        <w:ind w:firstLine="709"/>
        <w:jc w:val="both"/>
        <w:rPr>
          <w:sz w:val="24"/>
          <w:szCs w:val="24"/>
        </w:rPr>
      </w:pPr>
    </w:p>
    <w:p w14:paraId="0893E05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Председатель Совета народных депутатов</w:t>
      </w:r>
    </w:p>
    <w:p w14:paraId="00E2A67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Мысковского городского округа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А.Б. Архипов</w:t>
      </w:r>
    </w:p>
    <w:p w14:paraId="3DF6568B">
      <w:pPr>
        <w:jc w:val="both"/>
        <w:rPr>
          <w:b/>
          <w:sz w:val="24"/>
          <w:szCs w:val="24"/>
        </w:rPr>
      </w:pPr>
    </w:p>
    <w:p w14:paraId="334ABE49">
      <w:pPr>
        <w:jc w:val="both"/>
        <w:rPr>
          <w:b/>
          <w:sz w:val="24"/>
          <w:szCs w:val="24"/>
        </w:rPr>
      </w:pPr>
    </w:p>
    <w:p w14:paraId="2DA6D5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Глава Мысковского городского округа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Е.В. Тимофеев</w:t>
      </w:r>
    </w:p>
    <w:p w14:paraId="58447F3A">
      <w:pPr>
        <w:jc w:val="both"/>
        <w:rPr>
          <w:b/>
          <w:sz w:val="24"/>
          <w:szCs w:val="24"/>
        </w:rPr>
      </w:pPr>
    </w:p>
    <w:p w14:paraId="108A27A2">
      <w:pPr>
        <w:jc w:val="both"/>
        <w:rPr>
          <w:b/>
          <w:sz w:val="24"/>
          <w:szCs w:val="24"/>
        </w:rPr>
      </w:pPr>
    </w:p>
    <w:p w14:paraId="726F057C">
      <w:pPr>
        <w:widowControl/>
        <w:overflowPunct/>
        <w:autoSpaceDE/>
        <w:autoSpaceDN/>
        <w:adjustRightInd/>
        <w:spacing w:line="360" w:lineRule="auto"/>
        <w:jc w:val="center"/>
        <w:textAlignment w:val="auto"/>
        <w:rPr>
          <w:b/>
          <w:sz w:val="24"/>
          <w:szCs w:val="24"/>
        </w:rPr>
      </w:pPr>
    </w:p>
    <w:p w14:paraId="7F46E1FA">
      <w:pPr>
        <w:widowControl/>
        <w:overflowPunct/>
        <w:autoSpaceDE/>
        <w:autoSpaceDN/>
        <w:adjustRightInd/>
        <w:spacing w:line="240" w:lineRule="auto"/>
        <w:jc w:val="center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ПОЯСНИТЕЛЬНАЯ ЗАПИСКА</w:t>
      </w:r>
    </w:p>
    <w:p w14:paraId="7C86B961">
      <w:pPr>
        <w:widowControl/>
        <w:overflowPunct/>
        <w:autoSpaceDE/>
        <w:autoSpaceDN/>
        <w:adjustRightInd/>
        <w:spacing w:line="240" w:lineRule="auto"/>
        <w:jc w:val="center"/>
        <w:textAlignment w:val="auto"/>
        <w:rPr>
          <w:b/>
          <w:bCs/>
          <w:color w:val="000000"/>
          <w:spacing w:val="-5"/>
          <w:sz w:val="24"/>
          <w:szCs w:val="24"/>
        </w:rPr>
      </w:pPr>
      <w:r>
        <w:rPr>
          <w:b/>
          <w:sz w:val="24"/>
          <w:szCs w:val="24"/>
        </w:rPr>
        <w:t xml:space="preserve">к проекту решения </w:t>
      </w:r>
      <w:r>
        <w:rPr>
          <w:b/>
          <w:bCs/>
          <w:color w:val="000000"/>
          <w:spacing w:val="-5"/>
          <w:sz w:val="24"/>
          <w:szCs w:val="24"/>
        </w:rPr>
        <w:t>«Об утверждении годовой ставки арендной платы</w:t>
      </w:r>
    </w:p>
    <w:p w14:paraId="67C5B133">
      <w:pPr>
        <w:widowControl/>
        <w:overflowPunct/>
        <w:autoSpaceDE/>
        <w:autoSpaceDN/>
        <w:adjustRightInd/>
        <w:spacing w:line="240" w:lineRule="auto"/>
        <w:jc w:val="center"/>
        <w:textAlignment w:val="auto"/>
        <w:rPr>
          <w:b/>
          <w:sz w:val="24"/>
          <w:szCs w:val="24"/>
        </w:rPr>
      </w:pPr>
      <w:r>
        <w:rPr>
          <w:b/>
          <w:bCs/>
          <w:color w:val="000000"/>
          <w:spacing w:val="-5"/>
          <w:sz w:val="24"/>
          <w:szCs w:val="24"/>
        </w:rPr>
        <w:t>за 1 кв.м. недвижимого имущества, находящегося в муниципальной собственности Мысковского городского округа на 2025 год».</w:t>
      </w:r>
    </w:p>
    <w:p w14:paraId="00B1D0DA">
      <w:pPr>
        <w:widowControl/>
        <w:tabs>
          <w:tab w:val="left" w:pos="567"/>
        </w:tabs>
        <w:spacing w:line="240" w:lineRule="auto"/>
        <w:ind w:right="2"/>
        <w:jc w:val="center"/>
        <w:rPr>
          <w:bCs/>
          <w:color w:val="000000"/>
          <w:spacing w:val="-5"/>
          <w:sz w:val="24"/>
          <w:szCs w:val="24"/>
        </w:rPr>
      </w:pPr>
    </w:p>
    <w:p w14:paraId="04617E6E">
      <w:pPr>
        <w:widowControl/>
        <w:tabs>
          <w:tab w:val="left" w:pos="567"/>
        </w:tabs>
        <w:spacing w:line="240" w:lineRule="auto"/>
        <w:ind w:right="2" w:firstLine="567"/>
        <w:jc w:val="both"/>
        <w:rPr>
          <w:bCs/>
          <w:color w:val="000000"/>
          <w:spacing w:val="-5"/>
          <w:sz w:val="24"/>
          <w:szCs w:val="24"/>
        </w:rPr>
      </w:pPr>
      <w:r>
        <w:rPr>
          <w:bCs/>
          <w:color w:val="000000"/>
          <w:spacing w:val="-5"/>
          <w:sz w:val="24"/>
          <w:szCs w:val="24"/>
        </w:rPr>
        <w:t xml:space="preserve">В соответствии с Решением Совета народных депутатов Мысковского городского округа № 40-н от 20.12.2023 годовая ставка арендной платы за 1 кв.м. недвижимого имущества, находящегося в собственности Мысковского городского округа на 2024 год, утверждена в размере 3 367,47 рублей (без учета НДС). </w:t>
      </w:r>
    </w:p>
    <w:p w14:paraId="3982779D">
      <w:pPr>
        <w:widowControl/>
        <w:tabs>
          <w:tab w:val="left" w:pos="567"/>
        </w:tabs>
        <w:spacing w:line="240" w:lineRule="auto"/>
        <w:ind w:right="2" w:firstLine="567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bCs/>
          <w:color w:val="000000"/>
          <w:spacing w:val="-5"/>
          <w:sz w:val="24"/>
          <w:szCs w:val="24"/>
        </w:rPr>
        <w:t>В соответствии с пунктом 1 статьи 1 Федерального закона от 30.11.2024 № 419-ФЗ «О</w:t>
      </w:r>
      <w:r>
        <w:rPr>
          <w:color w:val="000000"/>
          <w:sz w:val="24"/>
          <w:szCs w:val="24"/>
          <w:shd w:val="clear" w:color="auto" w:fill="FFFFFF"/>
        </w:rPr>
        <w:t xml:space="preserve"> федеральном бюджете на 2025 год и на плановый период 2026 и 2027 годов» прогнозируемый уровень инфляции в 2025 году не превышает 4,5% (декабрь 2025 года к декабрю 2024 года).</w:t>
      </w:r>
    </w:p>
    <w:p w14:paraId="2A2F6FF0">
      <w:pPr>
        <w:widowControl/>
        <w:tabs>
          <w:tab w:val="left" w:pos="567"/>
        </w:tabs>
        <w:spacing w:line="240" w:lineRule="auto"/>
        <w:ind w:right="2"/>
        <w:jc w:val="both"/>
        <w:rPr>
          <w:bCs/>
          <w:color w:val="000000"/>
          <w:spacing w:val="-5"/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ab/>
      </w:r>
      <w:r>
        <w:rPr>
          <w:color w:val="000000"/>
          <w:sz w:val="24"/>
          <w:szCs w:val="24"/>
          <w:shd w:val="clear" w:color="auto" w:fill="FFFFFF"/>
        </w:rPr>
        <w:t>В связи с вышеизложенным предлагаем утвердить величину годовой ставки арендной платы на 2025 год с учетом данных показателей и установить ее в размере</w:t>
      </w:r>
      <w:r>
        <w:rPr>
          <w:bCs/>
          <w:color w:val="000000"/>
          <w:spacing w:val="-5"/>
          <w:sz w:val="24"/>
          <w:szCs w:val="24"/>
        </w:rPr>
        <w:t xml:space="preserve"> </w:t>
      </w:r>
      <w:r>
        <w:rPr>
          <w:bCs/>
          <w:color w:val="000000"/>
          <w:spacing w:val="-5"/>
          <w:sz w:val="24"/>
          <w:szCs w:val="24"/>
          <w:highlight w:val="yellow"/>
        </w:rPr>
        <w:t>3</w:t>
      </w:r>
      <w:r>
        <w:rPr>
          <w:sz w:val="24"/>
          <w:szCs w:val="24"/>
          <w:highlight w:val="yellow"/>
        </w:rPr>
        <w:t xml:space="preserve"> 519 </w:t>
      </w:r>
      <w:r>
        <w:rPr>
          <w:color w:val="000000"/>
          <w:spacing w:val="-5"/>
          <w:sz w:val="24"/>
          <w:szCs w:val="24"/>
          <w:highlight w:val="yellow"/>
        </w:rPr>
        <w:t xml:space="preserve">рублей </w:t>
      </w:r>
      <w:r>
        <w:rPr>
          <w:color w:val="000000"/>
          <w:spacing w:val="-5"/>
          <w:sz w:val="24"/>
          <w:szCs w:val="24"/>
        </w:rPr>
        <w:t>(без учета НДС) за 1 кв.м. недвижимого имущества,</w:t>
      </w:r>
      <w:r>
        <w:rPr>
          <w:bCs/>
          <w:color w:val="000000"/>
          <w:spacing w:val="-5"/>
          <w:sz w:val="24"/>
          <w:szCs w:val="24"/>
        </w:rPr>
        <w:t xml:space="preserve"> находящегося в муниципальной собственности  Мысковского городского округа</w:t>
      </w:r>
      <w:r>
        <w:rPr>
          <w:color w:val="000000"/>
          <w:spacing w:val="-5"/>
          <w:sz w:val="24"/>
          <w:szCs w:val="24"/>
        </w:rPr>
        <w:t>.</w:t>
      </w:r>
    </w:p>
    <w:p w14:paraId="1B70C8C4">
      <w:pPr>
        <w:widowControl/>
        <w:overflowPunct/>
        <w:autoSpaceDE/>
        <w:autoSpaceDN/>
        <w:adjustRightInd/>
        <w:spacing w:line="240" w:lineRule="auto"/>
        <w:jc w:val="center"/>
        <w:textAlignment w:val="auto"/>
        <w:rPr>
          <w:sz w:val="24"/>
          <w:szCs w:val="24"/>
        </w:rPr>
      </w:pPr>
    </w:p>
    <w:p w14:paraId="07E8648E">
      <w:pPr>
        <w:widowControl/>
        <w:overflowPunct/>
        <w:autoSpaceDE/>
        <w:autoSpaceDN/>
        <w:adjustRightInd/>
        <w:spacing w:line="240" w:lineRule="auto"/>
        <w:jc w:val="both"/>
        <w:textAlignment w:val="auto"/>
        <w:rPr>
          <w:sz w:val="24"/>
          <w:szCs w:val="24"/>
        </w:rPr>
      </w:pPr>
    </w:p>
    <w:p w14:paraId="72FC782F">
      <w:pPr>
        <w:widowControl/>
        <w:overflowPunct/>
        <w:autoSpaceDE/>
        <w:autoSpaceDN/>
        <w:adjustRightInd/>
        <w:spacing w:line="240" w:lineRule="auto"/>
        <w:jc w:val="both"/>
        <w:textAlignment w:val="auto"/>
        <w:rPr>
          <w:sz w:val="24"/>
          <w:szCs w:val="24"/>
        </w:rPr>
      </w:pPr>
      <w:bookmarkStart w:id="0" w:name="_GoBack"/>
      <w:bookmarkEnd w:id="0"/>
    </w:p>
    <w:p w14:paraId="654D81DB">
      <w:pPr>
        <w:widowControl/>
        <w:overflowPunct/>
        <w:autoSpaceDE/>
        <w:autoSpaceDN/>
        <w:adjustRightInd/>
        <w:spacing w:line="24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Председатель КУМИ</w:t>
      </w:r>
    </w:p>
    <w:p w14:paraId="43078C6F">
      <w:pPr>
        <w:widowControl/>
        <w:overflowPunct/>
        <w:autoSpaceDE/>
        <w:autoSpaceDN/>
        <w:adjustRightInd/>
        <w:spacing w:line="24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Мысковского городского округа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</w:t>
      </w:r>
      <w:r>
        <w:rPr>
          <w:rFonts w:hint="default"/>
          <w:sz w:val="24"/>
          <w:szCs w:val="24"/>
          <w:lang w:val="ru-RU"/>
        </w:rPr>
        <w:t xml:space="preserve">      </w:t>
      </w:r>
      <w:r>
        <w:rPr>
          <w:sz w:val="24"/>
          <w:szCs w:val="24"/>
        </w:rPr>
        <w:t xml:space="preserve"> Е.В. Кукина</w:t>
      </w:r>
    </w:p>
    <w:p w14:paraId="3D86BE53">
      <w:pPr>
        <w:widowControl/>
        <w:overflowPunct/>
        <w:autoSpaceDE/>
        <w:autoSpaceDN/>
        <w:adjustRightInd/>
        <w:spacing w:line="360" w:lineRule="auto"/>
        <w:textAlignment w:val="auto"/>
      </w:pPr>
    </w:p>
    <w:p w14:paraId="4877C6CD">
      <w:pPr>
        <w:widowControl/>
        <w:overflowPunct/>
        <w:autoSpaceDE/>
        <w:autoSpaceDN/>
        <w:adjustRightInd/>
        <w:spacing w:line="360" w:lineRule="auto"/>
        <w:textAlignment w:val="auto"/>
      </w:pPr>
    </w:p>
    <w:p w14:paraId="3B2A78CA">
      <w:pPr>
        <w:widowControl/>
        <w:overflowPunct/>
        <w:autoSpaceDE/>
        <w:autoSpaceDN/>
        <w:adjustRightInd/>
        <w:spacing w:line="360" w:lineRule="auto"/>
        <w:textAlignment w:val="auto"/>
      </w:pPr>
      <w:r>
        <w:t>Исп. Никонорова Н.Н.</w:t>
      </w:r>
    </w:p>
    <w:p w14:paraId="2BF6834B">
      <w:pPr>
        <w:widowControl/>
        <w:overflowPunct/>
        <w:autoSpaceDE/>
        <w:autoSpaceDN/>
        <w:adjustRightInd/>
        <w:spacing w:line="360" w:lineRule="auto"/>
        <w:textAlignment w:val="auto"/>
      </w:pPr>
      <w:r>
        <w:t>т.: 2-26-03</w:t>
      </w:r>
    </w:p>
    <w:p w14:paraId="41F268B3">
      <w:pPr>
        <w:widowControl/>
        <w:overflowPunct/>
        <w:autoSpaceDE/>
        <w:autoSpaceDN/>
        <w:adjustRightInd/>
        <w:spacing w:line="360" w:lineRule="auto"/>
        <w:textAlignment w:val="auto"/>
      </w:pPr>
    </w:p>
    <w:sectPr>
      <w:headerReference r:id="rId3" w:type="even"/>
      <w:endnotePr>
        <w:numFmt w:val="decimal"/>
      </w:endnotePr>
      <w:pgSz w:w="11907" w:h="16840"/>
      <w:pgMar w:top="1134" w:right="850" w:bottom="1134" w:left="1701" w:header="720" w:footer="720" w:gutter="0"/>
      <w:cols w:space="720" w:num="1"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50C91D">
    <w:pPr>
      <w:pStyle w:val="8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5DFE0982"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92A"/>
    <w:rsid w:val="00026D84"/>
    <w:rsid w:val="000317EE"/>
    <w:rsid w:val="000B0316"/>
    <w:rsid w:val="00126689"/>
    <w:rsid w:val="001B43C1"/>
    <w:rsid w:val="001D1B4B"/>
    <w:rsid w:val="00204C42"/>
    <w:rsid w:val="00241C4A"/>
    <w:rsid w:val="002429FB"/>
    <w:rsid w:val="00272669"/>
    <w:rsid w:val="0029166B"/>
    <w:rsid w:val="002C1782"/>
    <w:rsid w:val="00302696"/>
    <w:rsid w:val="003117F0"/>
    <w:rsid w:val="00314994"/>
    <w:rsid w:val="0035257C"/>
    <w:rsid w:val="003930B3"/>
    <w:rsid w:val="003C2A43"/>
    <w:rsid w:val="003F60FB"/>
    <w:rsid w:val="0046192A"/>
    <w:rsid w:val="00473A82"/>
    <w:rsid w:val="004C2A9F"/>
    <w:rsid w:val="004E3C93"/>
    <w:rsid w:val="004F112B"/>
    <w:rsid w:val="00547654"/>
    <w:rsid w:val="00583571"/>
    <w:rsid w:val="005A34FB"/>
    <w:rsid w:val="005A646C"/>
    <w:rsid w:val="005C25B0"/>
    <w:rsid w:val="005D2FB0"/>
    <w:rsid w:val="005F4B0C"/>
    <w:rsid w:val="00622202"/>
    <w:rsid w:val="0062422F"/>
    <w:rsid w:val="00633DBD"/>
    <w:rsid w:val="00661967"/>
    <w:rsid w:val="0067361C"/>
    <w:rsid w:val="00702D92"/>
    <w:rsid w:val="00734117"/>
    <w:rsid w:val="0079312A"/>
    <w:rsid w:val="007A41C3"/>
    <w:rsid w:val="007B1D2A"/>
    <w:rsid w:val="007B34A5"/>
    <w:rsid w:val="007B68BF"/>
    <w:rsid w:val="007E28C4"/>
    <w:rsid w:val="007E567D"/>
    <w:rsid w:val="007E6FD1"/>
    <w:rsid w:val="00844D1E"/>
    <w:rsid w:val="008479F1"/>
    <w:rsid w:val="0087350B"/>
    <w:rsid w:val="008751E7"/>
    <w:rsid w:val="008A5014"/>
    <w:rsid w:val="008D37E2"/>
    <w:rsid w:val="0090729E"/>
    <w:rsid w:val="00931A93"/>
    <w:rsid w:val="00952B13"/>
    <w:rsid w:val="009E0251"/>
    <w:rsid w:val="009E342B"/>
    <w:rsid w:val="009F3EE4"/>
    <w:rsid w:val="00A74CDE"/>
    <w:rsid w:val="00AB738F"/>
    <w:rsid w:val="00AD0A7F"/>
    <w:rsid w:val="00AD14AA"/>
    <w:rsid w:val="00AE02BD"/>
    <w:rsid w:val="00B25111"/>
    <w:rsid w:val="00B402C1"/>
    <w:rsid w:val="00B7748E"/>
    <w:rsid w:val="00BB0499"/>
    <w:rsid w:val="00BB120C"/>
    <w:rsid w:val="00C55FD5"/>
    <w:rsid w:val="00C97F54"/>
    <w:rsid w:val="00D0201D"/>
    <w:rsid w:val="00D2604A"/>
    <w:rsid w:val="00D51A55"/>
    <w:rsid w:val="00D92774"/>
    <w:rsid w:val="00E477A0"/>
    <w:rsid w:val="00E5408D"/>
    <w:rsid w:val="00E70529"/>
    <w:rsid w:val="00E96017"/>
    <w:rsid w:val="00EC7843"/>
    <w:rsid w:val="00EC78EB"/>
    <w:rsid w:val="00EC7DF6"/>
    <w:rsid w:val="00EF5858"/>
    <w:rsid w:val="00F27DD4"/>
    <w:rsid w:val="00F44F81"/>
    <w:rsid w:val="00F97EFC"/>
    <w:rsid w:val="00FB2E73"/>
    <w:rsid w:val="00FD2880"/>
    <w:rsid w:val="00FD310D"/>
    <w:rsid w:val="15FE0730"/>
    <w:rsid w:val="70471C01"/>
    <w:rsid w:val="7A5470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outlineLvl w:val="0"/>
    </w:pPr>
    <w:rPr>
      <w:sz w:val="28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uiPriority w:val="0"/>
    <w:rPr>
      <w:color w:val="0000FF"/>
      <w:u w:val="single"/>
    </w:rPr>
  </w:style>
  <w:style w:type="character" w:styleId="6">
    <w:name w:val="page number"/>
    <w:basedOn w:val="3"/>
    <w:uiPriority w:val="0"/>
  </w:style>
  <w:style w:type="paragraph" w:styleId="7">
    <w:name w:val="Balloon Text"/>
    <w:basedOn w:val="1"/>
    <w:link w:val="25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8">
    <w:name w:val="header"/>
    <w:basedOn w:val="1"/>
    <w:link w:val="19"/>
    <w:uiPriority w:val="99"/>
    <w:pPr>
      <w:tabs>
        <w:tab w:val="center" w:pos="4677"/>
        <w:tab w:val="right" w:pos="9355"/>
      </w:tabs>
    </w:pPr>
  </w:style>
  <w:style w:type="paragraph" w:styleId="9">
    <w:name w:val="Body Text"/>
    <w:basedOn w:val="1"/>
    <w:link w:val="14"/>
    <w:uiPriority w:val="0"/>
    <w:pPr>
      <w:widowControl/>
      <w:jc w:val="center"/>
    </w:pPr>
  </w:style>
  <w:style w:type="paragraph" w:styleId="10">
    <w:name w:val="Title"/>
    <w:basedOn w:val="1"/>
    <w:link w:val="13"/>
    <w:qFormat/>
    <w:uiPriority w:val="99"/>
    <w:pPr>
      <w:jc w:val="center"/>
    </w:pPr>
    <w:rPr>
      <w:sz w:val="28"/>
    </w:rPr>
  </w:style>
  <w:style w:type="paragraph" w:styleId="11">
    <w:name w:val="footer"/>
    <w:basedOn w:val="1"/>
    <w:link w:val="23"/>
    <w:semiHidden/>
    <w:unhideWhenUsed/>
    <w:uiPriority w:val="99"/>
    <w:pPr>
      <w:tabs>
        <w:tab w:val="center" w:pos="4677"/>
        <w:tab w:val="right" w:pos="9355"/>
      </w:tabs>
    </w:pPr>
  </w:style>
  <w:style w:type="character" w:customStyle="1" w:styleId="12">
    <w:name w:val="Заголовок 1 Знак"/>
    <w:basedOn w:val="3"/>
    <w:link w:val="2"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13">
    <w:name w:val="Название Знак"/>
    <w:basedOn w:val="3"/>
    <w:link w:val="10"/>
    <w:uiPriority w:val="99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14">
    <w:name w:val="Основной текст Знак"/>
    <w:basedOn w:val="3"/>
    <w:link w:val="9"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15">
    <w:name w:val="Обычный1"/>
    <w:link w:val="16"/>
    <w:uiPriority w:val="0"/>
    <w:pPr>
      <w:snapToGrid w:val="0"/>
      <w:spacing w:after="120"/>
      <w:ind w:firstLine="709"/>
      <w:jc w:val="both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16">
    <w:name w:val="Normal Знак"/>
    <w:link w:val="15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7">
    <w:name w:val="Основной текст (2)_"/>
    <w:link w:val="18"/>
    <w:locked/>
    <w:uiPriority w:val="0"/>
    <w:rPr>
      <w:sz w:val="24"/>
      <w:szCs w:val="24"/>
      <w:shd w:val="clear" w:color="auto" w:fill="FFFFFF"/>
    </w:rPr>
  </w:style>
  <w:style w:type="paragraph" w:customStyle="1" w:styleId="18">
    <w:name w:val="Основной текст (2)"/>
    <w:basedOn w:val="1"/>
    <w:link w:val="17"/>
    <w:uiPriority w:val="0"/>
    <w:pPr>
      <w:widowControl/>
      <w:shd w:val="clear" w:color="auto" w:fill="FFFFFF"/>
      <w:overflowPunct/>
      <w:autoSpaceDE/>
      <w:autoSpaceDN/>
      <w:adjustRightInd/>
      <w:spacing w:line="274" w:lineRule="exact"/>
      <w:ind w:hanging="960"/>
      <w:jc w:val="center"/>
      <w:textAlignment w:val="auto"/>
    </w:pPr>
    <w:rPr>
      <w:rFonts w:asciiTheme="minorHAnsi" w:hAnsiTheme="minorHAnsi" w:eastAsiaTheme="minorHAnsi" w:cstheme="minorBidi"/>
      <w:sz w:val="24"/>
      <w:szCs w:val="24"/>
      <w:lang w:eastAsia="en-US"/>
    </w:rPr>
  </w:style>
  <w:style w:type="character" w:customStyle="1" w:styleId="19">
    <w:name w:val="Верхний колонтитул Знак"/>
    <w:basedOn w:val="3"/>
    <w:link w:val="8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20">
    <w:name w:val="Обычный2"/>
    <w:uiPriority w:val="0"/>
    <w:pPr>
      <w:spacing w:after="120"/>
      <w:ind w:firstLine="709"/>
      <w:jc w:val="both"/>
    </w:pPr>
    <w:rPr>
      <w:rFonts w:ascii="Times New Roman" w:hAnsi="Times New Roman" w:eastAsia="Times New Roman" w:cs="Times New Roman"/>
      <w:snapToGrid w:val="0"/>
      <w:sz w:val="24"/>
      <w:lang w:val="ru-RU" w:eastAsia="ru-RU" w:bidi="ar-SA"/>
    </w:rPr>
  </w:style>
  <w:style w:type="paragraph" w:styleId="21">
    <w:name w:val="No Spacing"/>
    <w:qFormat/>
    <w:uiPriority w:val="1"/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22">
    <w:name w:val="Обычный3"/>
    <w:uiPriority w:val="0"/>
    <w:pPr>
      <w:spacing w:after="120"/>
      <w:ind w:firstLine="709"/>
      <w:jc w:val="both"/>
    </w:pPr>
    <w:rPr>
      <w:rFonts w:ascii="Times New Roman" w:hAnsi="Times New Roman" w:eastAsia="Times New Roman" w:cs="Times New Roman"/>
      <w:snapToGrid w:val="0"/>
      <w:sz w:val="24"/>
      <w:lang w:val="ru-RU" w:eastAsia="ru-RU" w:bidi="ar-SA"/>
    </w:rPr>
  </w:style>
  <w:style w:type="character" w:customStyle="1" w:styleId="23">
    <w:name w:val="Нижний колонтитул Знак"/>
    <w:basedOn w:val="3"/>
    <w:link w:val="11"/>
    <w:semiHidden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24">
    <w:name w:val="List Paragraph"/>
    <w:basedOn w:val="1"/>
    <w:qFormat/>
    <w:uiPriority w:val="34"/>
    <w:pPr>
      <w:widowControl/>
      <w:overflowPunct/>
      <w:autoSpaceDE/>
      <w:autoSpaceDN/>
      <w:adjustRightInd/>
      <w:spacing w:line="259" w:lineRule="auto"/>
      <w:ind w:left="720"/>
      <w:contextualSpacing/>
      <w:jc w:val="both"/>
      <w:textAlignment w:val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25">
    <w:name w:val="Текст выноски Знак"/>
    <w:basedOn w:val="3"/>
    <w:link w:val="7"/>
    <w:semiHidden/>
    <w:uiPriority w:val="99"/>
    <w:rPr>
      <w:rFonts w:ascii="Segoe UI" w:hAnsi="Segoe UI" w:eastAsia="Times New Roman" w:cs="Segoe UI"/>
      <w:sz w:val="18"/>
      <w:szCs w:val="1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A7D49-7A4C-4B02-A2B8-BB6BC13E0F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Krokoz™</Company>
  <Pages>2</Pages>
  <Words>479</Words>
  <Characters>2733</Characters>
  <Lines>22</Lines>
  <Paragraphs>6</Paragraphs>
  <TotalTime>3</TotalTime>
  <ScaleCrop>false</ScaleCrop>
  <LinksUpToDate>false</LinksUpToDate>
  <CharactersWithSpaces>3206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2023-12-26T06:14:00Z</dcterms:created>
  <dc:creator>uraevaPV</dc:creator>
  <cp:lastModifiedBy>User</cp:lastModifiedBy>
  <cp:lastPrinted>2024-12-16T16:17:58Z</cp:lastPrinted>
  <dcterms:modified xsi:type="dcterms:W3CDTF">2024-12-16T16:27:18Z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8FE483124BB7477B944B7960FB3DDDF7_12</vt:lpwstr>
  </property>
</Properties>
</file>