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9D" w:rsidRDefault="00652368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Приложение</w:t>
      </w:r>
    </w:p>
    <w:p w:rsidR="0091619D" w:rsidRDefault="00652368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</w:rPr>
        <w:t>к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постановлению администрации</w:t>
      </w:r>
    </w:p>
    <w:p w:rsidR="0091619D" w:rsidRDefault="00652368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/>
          <w:bCs/>
          <w:sz w:val="28"/>
          <w:szCs w:val="28"/>
        </w:rPr>
        <w:t>Мысковского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городского округа</w:t>
      </w:r>
    </w:p>
    <w:p w:rsidR="0091619D" w:rsidRDefault="00652368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от </w:t>
      </w:r>
      <w:r w:rsidR="00EE3528">
        <w:rPr>
          <w:rFonts w:ascii="Times New Roman" w:eastAsia="Calibri" w:hAnsi="Times New Roman"/>
          <w:bCs/>
          <w:sz w:val="28"/>
          <w:szCs w:val="28"/>
        </w:rPr>
        <w:t>14.07.2026 № 878-п</w:t>
      </w:r>
      <w:bookmarkStart w:id="0" w:name="_GoBack"/>
      <w:bookmarkEnd w:id="0"/>
    </w:p>
    <w:p w:rsidR="0091619D" w:rsidRDefault="0091619D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91619D" w:rsidRDefault="0091619D">
      <w:pPr>
        <w:spacing w:after="0" w:line="240" w:lineRule="auto"/>
        <w:ind w:left="219" w:firstLine="4743"/>
        <w:contextualSpacing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bookmarkStart w:id="1" w:name="Par38"/>
      <w:bookmarkEnd w:id="1"/>
      <w:r>
        <w:rPr>
          <w:rFonts w:ascii="Times New Roman" w:hAnsi="Times New Roman"/>
          <w:b/>
          <w:sz w:val="28"/>
          <w:szCs w:val="28"/>
        </w:rPr>
        <w:t>Порядок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разработки</w:t>
      </w:r>
      <w:proofErr w:type="gramEnd"/>
      <w:r>
        <w:rPr>
          <w:rFonts w:ascii="Times New Roman" w:hAnsi="Times New Roman"/>
          <w:b/>
          <w:sz w:val="28"/>
          <w:szCs w:val="28"/>
        </w:rPr>
        <w:t>, корректировки, осуществления мониторинга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контроля реализации прогноза социально-экономического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развития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округа на среднесрочный период</w:t>
      </w:r>
    </w:p>
    <w:p w:rsidR="0091619D" w:rsidRDefault="0091619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1619D" w:rsidRDefault="0091619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Настоящий Порядок разработки, корректировки, осуществления мониторинга и контроля реализации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на среднесрочный период (далее - Порядок) определяет процедуру разработки, корректировки, осуществления мониторинга и контроля реализации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  на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среднесрочный период (далее  - среднесрочный прогноз).</w:t>
      </w:r>
    </w:p>
    <w:p w:rsidR="0091619D" w:rsidRDefault="0065236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1.2. Основные понятия, используемые в настоящем Порядке, применяются в значениях, установленных Федеральным </w:t>
      </w:r>
      <w:hyperlink r:id="rId4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28.06.2014 №172-ФЗ «О стратегическом планировании в Российской Федерации».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Разработку среднесрочного прогноза осуществляет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совместно с отраслевыми (функциональными) органами, территориальными органами, структурными подразделениями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во взаимодействии с Министерством экономического развития Кузбасса и иными хозяйствующими субъектами, осуществляющими деятельность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осуществляет координацию и методическое обеспечение разработки и корректировки среднесрочного прогноза.</w:t>
      </w:r>
    </w:p>
    <w:p w:rsidR="0091619D" w:rsidRDefault="0091619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Разработка и корректировка среднесрочного прогноза</w:t>
      </w:r>
    </w:p>
    <w:p w:rsidR="0091619D" w:rsidRDefault="0091619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Среднесрочный прогноз разрабатывается ежегодно на основе прогноза социально-экономического развития Российской Федерации и прогноза социально-экономического развития Кемеровской области - Кузбасса на среднесрочный период, стратегии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а также с учетом факторов, влияющих на различные аспекты жизни и экономики: демографических и экономических показателей, инвестиционной активности, состояния инфраструктуры, экологических факторов и др.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Среднесрочный прогноз разрабатывается на вариативной основе на период не менее 3 лет - на очередной финансовый год и плановый период.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Разработка среднесрочного прогноза осуществляется по формам и в сроки, которые доводятся до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Министерством экономического развития Кузбасса.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Разработка среднесрочного прогноза осуществляется в рамках бюджетного процесса в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округе поэтапно: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этапе разрабатывается предварительный среднесрочный прогноз;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втором этапе разрабатывается уточненный среднесрочный прогноз.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Разработка среднесрочного прогноза осуществляется с учетом: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направлений социально-экономической политики Правительства Российской Федерации, сценарных условий и основных параметров среднесрочного прогноза, одобренных Правительством Российской Федерации;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методических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материалов, необходимых для разработки среднесрочного прогноза, которые доводятся Министерством экономического развития Кузбасса;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стратегии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/>
          <w:sz w:val="28"/>
          <w:szCs w:val="28"/>
        </w:rPr>
        <w:t xml:space="preserve"> тенденций социально-экономического развития Кемеровской области - Кузбасса 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а также сложившейся ситуации в текущем финансовом году;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мер по социально-экономическому развитию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прогнозных показателях (индикаторах)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и соответствующих им объемах финансирования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по мероприятиям на очередной финансовый год и плановый период.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Среднесрочный прогноз содержит: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оценку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достигнутого уровня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оценку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факторов и ограничений экономического роста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на среднесрочный период;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и целевые показатели одного или нескольких вариантов прогноза социально-экономического развития муниципального образования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основные</w:t>
      </w:r>
      <w:proofErr w:type="gramEnd"/>
      <w:r>
        <w:rPr>
          <w:rFonts w:ascii="Times New Roman" w:hAnsi="Times New Roman"/>
          <w:sz w:val="28"/>
          <w:szCs w:val="28"/>
        </w:rPr>
        <w:t xml:space="preserve"> параметры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91619D" w:rsidRDefault="0065236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2.7. Проект среднесрочного прогноза проходит процедуру общественного обсуждения в соответствии с Федеральным </w:t>
      </w:r>
      <w:hyperlink r:id="rId5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28.06.2014 №172-ФЗ «О стратегическом планировании в Российской Федерации» </w:t>
      </w:r>
      <w:r>
        <w:rPr>
          <w:rFonts w:ascii="Times New Roman" w:hAnsi="Times New Roman"/>
          <w:color w:val="000000"/>
          <w:sz w:val="28"/>
          <w:szCs w:val="28"/>
        </w:rPr>
        <w:t xml:space="preserve">в порядке и сроки,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установленные Порядком общественного обсуждения проектов документов стратегического планирования по вопросам, находящимся в ведении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округа, утверждаемым постановлением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округа.</w:t>
      </w:r>
    </w:p>
    <w:p w:rsidR="0091619D" w:rsidRDefault="0065236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2.8. Фактом одобрения уточненного прогноза администрацией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является направление официального письма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 xml:space="preserve">в Совет народных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о включении в повестку очередного заседания Совета народных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вопроса об утверждении проекта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и на плановый период с приложением предусмотренного Бюджетным </w:t>
      </w:r>
      <w:hyperlink r:id="rId6">
        <w:r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пакета документов, необходимых для рассмотрения местного бюджета представительным органом местного самоуправления, включающего вышеуказанный прогноз.</w:t>
      </w:r>
    </w:p>
    <w:p w:rsidR="0091619D" w:rsidRDefault="00652368">
      <w:pPr>
        <w:pStyle w:val="ConsPlusNormal"/>
        <w:spacing w:before="160"/>
        <w:ind w:firstLine="540"/>
        <w:jc w:val="both"/>
      </w:pPr>
      <w:bookmarkStart w:id="2" w:name="Par72"/>
      <w:bookmarkEnd w:id="2"/>
      <w:r>
        <w:rPr>
          <w:rFonts w:ascii="Times New Roman" w:hAnsi="Times New Roman"/>
          <w:sz w:val="28"/>
          <w:szCs w:val="28"/>
        </w:rPr>
        <w:t xml:space="preserve">2.9. Уточненный среднесрочный прогноз в 10-дневный срок с даты утверждения проекта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и на плановый период с приложением предусмотренного Бюджетным </w:t>
      </w:r>
      <w:hyperlink r:id="rId7">
        <w:r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пакета документов, необходимых для рассмотрения местного бюджета представительным органом местного самоуправления, включающего вышеуказанный прогноз, размещается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в информационно - телекоммуникационной сети "Интернет".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Корректировка среднесрочного прогноза осуществляется по инициативе Министерства экономического развития Кузбасса и проводится с целью формирования уточненного среднесрочного прогноза с учетом настоящего Порядка в целях обеспечения разработки проекта решения Совета народных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и на плановый период.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Основаниями для корректировки среднесрочного прогноза являются результаты мониторинга и контроля реализации предварительного среднесрочного прогноза.</w:t>
      </w:r>
    </w:p>
    <w:p w:rsidR="0091619D" w:rsidRDefault="0091619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взаимодействия отраслевых (функциональных)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органов</w:t>
      </w:r>
      <w:proofErr w:type="gramEnd"/>
      <w:r>
        <w:rPr>
          <w:rFonts w:ascii="Times New Roman" w:hAnsi="Times New Roman"/>
          <w:b/>
          <w:sz w:val="28"/>
          <w:szCs w:val="28"/>
        </w:rPr>
        <w:t>, территориальных органов, структурных подразделений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Мысковского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городского округа</w:t>
      </w:r>
    </w:p>
    <w:p w:rsidR="0091619D" w:rsidRDefault="0065236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разработке среднесрочного прогноза</w:t>
      </w:r>
    </w:p>
    <w:p w:rsidR="0091619D" w:rsidRDefault="0091619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: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из Министерства экономического развития Кузбасса материалов к разработке среднесрочного прогноза, содержащих внешние и внутренние условия и характеристики социально-экономического развития, основные прогнозируемые параметры, отражающие социально-экономическое </w:t>
      </w:r>
      <w:r>
        <w:rPr>
          <w:rFonts w:ascii="Times New Roman" w:hAnsi="Times New Roman"/>
          <w:sz w:val="28"/>
          <w:szCs w:val="28"/>
        </w:rPr>
        <w:lastRenderedPageBreak/>
        <w:t xml:space="preserve">развитие в среднесрочном периоде, направляет отраслевым (функциональным) органам, территориальным органам, структурным подразделениям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указанные материалы, а также запросы о разработке и представлении согласованных с курирующими структурными подразделениями Министерства экономического развития Кузбасса показателей среднесрочного прогноза по курируемой сфере деятельности и пояснительных записок к ним, содержащих обоснование данных показателей с указанием причин и факторов прогнозируемых изменений;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обобщение представленных участниками стратегического планирования согласованных показателей среднесрочного прогноза, формирует среднесрочный прогноз и пояснительную записку к нему, представляет их в Министерство экономического развития Кузбасса в электронном виде согласно формам и срокам, установленным в соответствующем запросе;</w:t>
      </w:r>
    </w:p>
    <w:p w:rsidR="0091619D" w:rsidRDefault="00652368">
      <w:pPr>
        <w:pStyle w:val="ConsPlusNormal"/>
        <w:spacing w:before="160"/>
        <w:ind w:firstLine="540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уточненный среднесрочный прогноз в финансовое управление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для включения в предусмотренный Бюджетным </w:t>
      </w:r>
      <w:hyperlink r:id="rId8">
        <w:r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пакет документов, необходимых для рассмотрения местного бюджета представительным органом местного самоуправления;</w:t>
      </w:r>
    </w:p>
    <w:p w:rsidR="0091619D" w:rsidRDefault="00652368">
      <w:pPr>
        <w:pStyle w:val="ConsPlusNormal"/>
        <w:spacing w:before="160"/>
        <w:ind w:firstLine="540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размещение уточненного среднесрочного прогноза на официальном сайте в информационно-телекоммуникационной сети "Интернет" в срок, установленный </w:t>
      </w:r>
      <w:hyperlink w:anchor="Par72">
        <w:r>
          <w:rPr>
            <w:rFonts w:ascii="Times New Roman" w:hAnsi="Times New Roman"/>
            <w:color w:val="000000"/>
            <w:sz w:val="28"/>
            <w:szCs w:val="28"/>
          </w:rPr>
          <w:t>пунктом 2.9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Структурные подразделения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округа, ее отраслевые органы, организации и территориальные органы </w:t>
      </w:r>
      <w:r>
        <w:rPr>
          <w:rFonts w:ascii="Times New Roman" w:hAnsi="Times New Roman"/>
          <w:sz w:val="28"/>
          <w:szCs w:val="28"/>
        </w:rPr>
        <w:t xml:space="preserve"> в соответствии с их полномочиями по курируемым видам экономической деятельности, сферам, секторам экономики и социального развития представляют в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электронном виде и на бумажном носителе согласно формам и срокам, которые доводятся в запросах, согласованную информацию по показателям и разделам среднесрочного прогноза для его формирования, а также пояснительные записки, содержащие анализ достигнутого уровня значений показателей с указанием факторов, оказавших влияние на сложившиеся тенденции развития, а также обоснование наиболее вероятных тенденций динамики показателей в среднесрочном прогнозном периоде.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рамках разработки среднесрочных прогнозов социально-экономического развития муниципальных образований Кемеровской области - Кузбасса представляет в Министерство экономического развития Кузбасса в электронном виде согласно формам и срокам, которые доводятся Министерством экономического развития Кузбасса в запросах, информацию по показателям и разделам среднесрочного прогноза для его формирования, а также пояснительные записки, содержащие анализ достигнутого уровня значений показателей с указанием факторов, оказавших влияние на сложившиеся тенденции развития, а также обоснование наиболее вероятных тенденций динамики показателей в среднесрочном прогнозном периоде.</w:t>
      </w:r>
    </w:p>
    <w:p w:rsidR="0091619D" w:rsidRDefault="0091619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Мониторинг и контроль реализации среднесрочного прогноза</w:t>
      </w:r>
    </w:p>
    <w:p w:rsidR="0091619D" w:rsidRDefault="0091619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1619D" w:rsidRDefault="0065236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Мониторинг среднесрочного прогноза осуществляется в целях корректировки предварительного среднесрочного прогноза и формирования уточненного среднесрочного прогноза.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Мониторинг среднесрочного прогноза проводится путем выявления отклонений фактических значений показателей социально-экономического развития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уточненных на основе данных официальной статистической информации по итогам трех кварталов текущего финансового года, от показателей предварительного среднесрочного прогноза, представленных в Министерство экономического развития Кузбасса.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Структурные подразделения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округа, ее отраслевые органы, организации и территориальные органы</w:t>
      </w:r>
      <w:r>
        <w:rPr>
          <w:rFonts w:ascii="Times New Roman" w:hAnsi="Times New Roman"/>
          <w:sz w:val="28"/>
          <w:szCs w:val="28"/>
        </w:rPr>
        <w:t xml:space="preserve"> представляют в отдел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уточненные показатели прогноза развития видов экономической деятельности и сфер экономики на среднесрочный период согласно формам и срокам, которые доводятся до них отделом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запросах.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Контроль реализации среднесрочного прогноза осуществляется отделом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целях повышения качества разработки среднесрочного прогноза на основе данных официального статистического наблюдения, а также иной информации, предоставляемой отраслевыми (функциональными) органами, территориальными органами, структурными подразделениями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пределах их компетенции.</w:t>
      </w:r>
    </w:p>
    <w:p w:rsidR="0091619D" w:rsidRDefault="00652368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Контроль реализации среднесрочного прогноза осуществляется отделом экономического анализа и прогнозирования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путем обобщения информации о социально-экономическом развитии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и оценки достижения показателей социально-экономического развития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Мысковского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среднесрочном периоде.</w:t>
      </w:r>
    </w:p>
    <w:p w:rsidR="0091619D" w:rsidRDefault="0091619D">
      <w:pPr>
        <w:tabs>
          <w:tab w:val="left" w:pos="4938"/>
        </w:tabs>
        <w:spacing w:after="0" w:line="240" w:lineRule="auto"/>
        <w:ind w:left="227"/>
        <w:contextualSpacing/>
        <w:rPr>
          <w:rFonts w:ascii="Times New Roman" w:eastAsia="Calibri" w:hAnsi="Times New Roman"/>
          <w:bCs/>
          <w:sz w:val="28"/>
          <w:szCs w:val="28"/>
        </w:rPr>
      </w:pPr>
    </w:p>
    <w:p w:rsidR="0091619D" w:rsidRDefault="0091619D">
      <w:pPr>
        <w:tabs>
          <w:tab w:val="left" w:pos="4938"/>
        </w:tabs>
        <w:spacing w:after="0" w:line="240" w:lineRule="auto"/>
        <w:ind w:left="227"/>
        <w:contextualSpacing/>
        <w:rPr>
          <w:rFonts w:ascii="Times New Roman" w:eastAsia="Calibri" w:hAnsi="Times New Roman"/>
          <w:bCs/>
          <w:sz w:val="28"/>
          <w:szCs w:val="28"/>
        </w:rPr>
      </w:pPr>
    </w:p>
    <w:p w:rsidR="0091619D" w:rsidRDefault="00652368">
      <w:pPr>
        <w:tabs>
          <w:tab w:val="left" w:pos="4938"/>
        </w:tabs>
        <w:spacing w:after="0" w:line="240" w:lineRule="auto"/>
        <w:ind w:left="227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Заместитель главы </w:t>
      </w:r>
    </w:p>
    <w:p w:rsidR="0091619D" w:rsidRDefault="00652368">
      <w:pPr>
        <w:spacing w:after="0" w:line="240" w:lineRule="auto"/>
        <w:ind w:left="227"/>
        <w:contextualSpacing/>
        <w:rPr>
          <w:rFonts w:ascii="Times New Roman" w:eastAsia="Calibri" w:hAnsi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/>
          <w:bCs/>
          <w:sz w:val="28"/>
          <w:szCs w:val="28"/>
        </w:rPr>
        <w:t>Мысковского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городского округа </w:t>
      </w:r>
    </w:p>
    <w:p w:rsidR="0091619D" w:rsidRDefault="00652368">
      <w:pPr>
        <w:spacing w:after="0" w:line="240" w:lineRule="auto"/>
        <w:ind w:left="227"/>
        <w:contextualSpacing/>
      </w:pPr>
      <w:proofErr w:type="gramStart"/>
      <w:r>
        <w:rPr>
          <w:rFonts w:ascii="Times New Roman" w:eastAsia="Calibri" w:hAnsi="Times New Roman"/>
          <w:bCs/>
          <w:sz w:val="28"/>
          <w:szCs w:val="28"/>
        </w:rPr>
        <w:t>по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экономики и прогнозирования                                                            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Н.М.Демлер</w:t>
      </w:r>
      <w:proofErr w:type="spellEnd"/>
    </w:p>
    <w:sectPr w:rsidR="0091619D">
      <w:pgSz w:w="11906" w:h="16838"/>
      <w:pgMar w:top="1134" w:right="551" w:bottom="854" w:left="115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9D"/>
    <w:rsid w:val="00652368"/>
    <w:rsid w:val="0091619D"/>
    <w:rsid w:val="00EC20A1"/>
    <w:rsid w:val="00E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F6AE-97A2-4437-BBA8-286BFA35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ahoma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qFormat/>
    <w:rsid w:val="00A8776C"/>
    <w:pPr>
      <w:keepNext/>
      <w:tabs>
        <w:tab w:val="left" w:pos="0"/>
      </w:tabs>
      <w:spacing w:before="240" w:after="60"/>
      <w:ind w:left="1080" w:hanging="720"/>
      <w:outlineLvl w:val="3"/>
    </w:pPr>
    <w:rPr>
      <w:b/>
      <w:bCs/>
      <w:sz w:val="28"/>
      <w:szCs w:val="28"/>
    </w:rPr>
  </w:style>
  <w:style w:type="character" w:customStyle="1" w:styleId="a3">
    <w:name w:val="Символ нумерации"/>
    <w:qFormat/>
    <w:rsid w:val="00A8776C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A8776C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6">
    <w:name w:val="Body Text"/>
    <w:basedOn w:val="a"/>
    <w:rsid w:val="00A8776C"/>
    <w:pPr>
      <w:spacing w:after="140"/>
    </w:pPr>
  </w:style>
  <w:style w:type="paragraph" w:styleId="a7">
    <w:name w:val="List"/>
    <w:basedOn w:val="a6"/>
    <w:rsid w:val="00A8776C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A8776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A8776C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A8776C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qFormat/>
    <w:rsid w:val="00A87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qFormat/>
    <w:rsid w:val="00A8776C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A8776C"/>
    <w:pPr>
      <w:jc w:val="center"/>
    </w:pPr>
    <w:rPr>
      <w:b/>
      <w:bCs/>
    </w:rPr>
  </w:style>
  <w:style w:type="paragraph" w:customStyle="1" w:styleId="10">
    <w:name w:val="Абзац списка1"/>
    <w:basedOn w:val="a"/>
    <w:qFormat/>
    <w:rsid w:val="00A8776C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ConsPlusTitle">
    <w:name w:val="ConsPlusTitle"/>
    <w:qFormat/>
    <w:rsid w:val="00A8776C"/>
    <w:pPr>
      <w:widowControl w:val="0"/>
    </w:pPr>
    <w:rPr>
      <w:rFonts w:asciiTheme="minorHAnsi" w:eastAsia="Times New Roman" w:hAnsiTheme="minorHAnsi" w:cs="Calibri"/>
      <w:b/>
      <w:szCs w:val="20"/>
      <w:lang w:eastAsia="zh-CN"/>
    </w:rPr>
  </w:style>
  <w:style w:type="paragraph" w:customStyle="1" w:styleId="ConsPlusNormal">
    <w:name w:val="ConsPlusNormal"/>
    <w:qFormat/>
    <w:rsid w:val="00A8776C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1">
    <w:name w:val="Normal1"/>
    <w:qFormat/>
    <w:rsid w:val="00A8776C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TW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4" TargetMode="External"/><Relationship Id="rId5" Type="http://schemas.openxmlformats.org/officeDocument/2006/relationships/hyperlink" Target="https://login.consultant.ru/link/?req=doc&amp;base=LAW&amp;n=48078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078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</cp:revision>
  <cp:lastPrinted>2026-07-13T15:26:00Z</cp:lastPrinted>
  <dcterms:created xsi:type="dcterms:W3CDTF">2026-07-13T08:41:00Z</dcterms:created>
  <dcterms:modified xsi:type="dcterms:W3CDTF">2026-07-14T04:48:00Z</dcterms:modified>
  <dc:language>ru-RU</dc:language>
</cp:coreProperties>
</file>